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2D" w:rsidRPr="00007E52" w:rsidRDefault="00007E52" w:rsidP="00007E52">
      <w:pPr>
        <w:jc w:val="center"/>
        <w:rPr>
          <w:rFonts w:ascii="Verdana" w:hAnsi="Verdana"/>
          <w:b/>
          <w:sz w:val="20"/>
          <w:szCs w:val="20"/>
        </w:rPr>
      </w:pPr>
      <w:r w:rsidRPr="00007E52">
        <w:rPr>
          <w:rFonts w:ascii="Verdana" w:hAnsi="Verdana"/>
          <w:b/>
          <w:sz w:val="20"/>
          <w:szCs w:val="20"/>
        </w:rPr>
        <w:t>ADATKEZELÉSI TÁJÉKOZTATÓ</w:t>
      </w:r>
    </w:p>
    <w:p w:rsidR="00007E52" w:rsidRPr="00007E52" w:rsidRDefault="00007E52" w:rsidP="00007E5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007E52">
        <w:rPr>
          <w:rFonts w:ascii="Verdana" w:hAnsi="Verdana"/>
          <w:sz w:val="20"/>
          <w:szCs w:val="20"/>
        </w:rPr>
        <w:t>z Adatkezelő TALENTECH toborzási-és kiválasztási rendszerével kapcsolatban</w:t>
      </w:r>
    </w:p>
    <w:p w:rsidR="00007E52" w:rsidRDefault="00007E52" w:rsidP="00007E52">
      <w:pPr>
        <w:jc w:val="both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Jelen tájékoztató célja, hogy az Adatkezelő tájékoztatást nyújtson a GLS Hungary toborzási és kiválasztási rendszerében jelentkező pályázók és regisztrálok (Érintett) részére az Adatkezelő </w:t>
      </w:r>
      <w:r>
        <w:rPr>
          <w:rFonts w:ascii="Verdana" w:hAnsi="Verdana"/>
          <w:sz w:val="20"/>
          <w:szCs w:val="20"/>
        </w:rPr>
        <w:t>adatkezelési tevékenységéről.</w:t>
      </w:r>
    </w:p>
    <w:p w:rsidR="00007E52" w:rsidRDefault="00007E52" w:rsidP="00007E52">
      <w:pPr>
        <w:jc w:val="both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Amennyiben Önt nem, mint </w:t>
      </w:r>
      <w:r>
        <w:rPr>
          <w:rFonts w:ascii="Verdana" w:hAnsi="Verdana"/>
          <w:sz w:val="20"/>
          <w:szCs w:val="20"/>
        </w:rPr>
        <w:t>pályázót</w:t>
      </w:r>
      <w:r w:rsidRPr="00007E52">
        <w:rPr>
          <w:rFonts w:ascii="Verdana" w:hAnsi="Verdana"/>
          <w:sz w:val="20"/>
          <w:szCs w:val="20"/>
        </w:rPr>
        <w:t xml:space="preserve"> érdekli a </w:t>
      </w:r>
      <w:r>
        <w:rPr>
          <w:rFonts w:ascii="Verdana" w:hAnsi="Verdana"/>
          <w:sz w:val="20"/>
          <w:szCs w:val="20"/>
        </w:rPr>
        <w:t>GLS Hungary</w:t>
      </w:r>
      <w:r w:rsidRPr="00007E52">
        <w:rPr>
          <w:rFonts w:ascii="Verdana" w:hAnsi="Verdana"/>
          <w:sz w:val="20"/>
          <w:szCs w:val="20"/>
        </w:rPr>
        <w:t xml:space="preserve"> adatkezelési gyakorlata, az </w:t>
      </w:r>
      <w:r>
        <w:rPr>
          <w:rFonts w:ascii="Verdana" w:hAnsi="Verdana"/>
          <w:sz w:val="20"/>
          <w:szCs w:val="20"/>
        </w:rPr>
        <w:t xml:space="preserve">adott tevékenységre vonatkozó </w:t>
      </w:r>
      <w:r w:rsidRPr="00007E52">
        <w:rPr>
          <w:rFonts w:ascii="Verdana" w:hAnsi="Verdana"/>
          <w:sz w:val="20"/>
          <w:szCs w:val="20"/>
        </w:rPr>
        <w:t>adatkezelési tájékoztató</w:t>
      </w:r>
      <w:r>
        <w:rPr>
          <w:rFonts w:ascii="Verdana" w:hAnsi="Verdana"/>
          <w:sz w:val="20"/>
          <w:szCs w:val="20"/>
        </w:rPr>
        <w:t>ban</w:t>
      </w:r>
      <w:r w:rsidRPr="00007E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és mellékleteiben </w:t>
      </w:r>
      <w:r w:rsidR="002629BA">
        <w:rPr>
          <w:rFonts w:ascii="Verdana" w:hAnsi="Verdana"/>
          <w:sz w:val="20"/>
          <w:szCs w:val="20"/>
        </w:rPr>
        <w:t>informálódhat</w:t>
      </w:r>
      <w:r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007E52" w:rsidRPr="00007E52" w:rsidRDefault="00007E52" w:rsidP="00007E52">
      <w:pPr>
        <w:pStyle w:val="Nincstrkz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007E52">
        <w:rPr>
          <w:rFonts w:ascii="Verdana" w:hAnsi="Verdana"/>
          <w:b/>
          <w:sz w:val="20"/>
          <w:szCs w:val="20"/>
        </w:rPr>
        <w:t xml:space="preserve">ADATKEZELŐ ADATAI </w:t>
      </w:r>
    </w:p>
    <w:p w:rsidR="00007E52" w:rsidRPr="00007E52" w:rsidRDefault="00007E52" w:rsidP="00007E52">
      <w:pPr>
        <w:pStyle w:val="Nincstrkz"/>
        <w:ind w:left="360"/>
        <w:rPr>
          <w:rFonts w:ascii="Verdana" w:hAnsi="Verdana"/>
          <w:sz w:val="20"/>
          <w:szCs w:val="20"/>
        </w:rPr>
      </w:pPr>
    </w:p>
    <w:p w:rsidR="00007E52" w:rsidRP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Név: GLS General </w:t>
      </w:r>
      <w:proofErr w:type="spellStart"/>
      <w:r w:rsidRPr="00007E52">
        <w:rPr>
          <w:rFonts w:ascii="Verdana" w:hAnsi="Verdana"/>
          <w:sz w:val="20"/>
          <w:szCs w:val="20"/>
        </w:rPr>
        <w:t>Logistics</w:t>
      </w:r>
      <w:proofErr w:type="spellEnd"/>
      <w:r w:rsidRPr="00007E52">
        <w:rPr>
          <w:rFonts w:ascii="Verdana" w:hAnsi="Verdana"/>
          <w:sz w:val="20"/>
          <w:szCs w:val="20"/>
        </w:rPr>
        <w:t xml:space="preserve"> Systems Hungary Kft.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Székhely: 2351 Alsónémedi, GLS Európa utca 2.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Email cím: </w:t>
      </w:r>
      <w:hyperlink r:id="rId7" w:history="1">
        <w:r w:rsidRPr="00F91DE3">
          <w:rPr>
            <w:rStyle w:val="Hiperhivatkozs"/>
            <w:rFonts w:ascii="Verdana" w:hAnsi="Verdana"/>
            <w:sz w:val="20"/>
            <w:szCs w:val="20"/>
          </w:rPr>
          <w:t>adatvedelem@gls-hungary.com</w:t>
        </w:r>
      </w:hyperlink>
      <w:r w:rsidRPr="00007E52">
        <w:rPr>
          <w:rFonts w:ascii="Verdana" w:hAnsi="Verdana"/>
          <w:sz w:val="20"/>
          <w:szCs w:val="20"/>
        </w:rPr>
        <w:t xml:space="preserve">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Levelezési cím: 2351 Alsónémedi, GLS Európa utca 2.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Adatvédelmi tisztviselő neve: dr. Katona Rita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  <w:r w:rsidRPr="00007E52">
        <w:rPr>
          <w:rFonts w:ascii="Verdana" w:hAnsi="Verdana"/>
          <w:sz w:val="20"/>
          <w:szCs w:val="20"/>
        </w:rPr>
        <w:t xml:space="preserve">Elérhetősége: </w:t>
      </w:r>
      <w:hyperlink r:id="rId8" w:history="1">
        <w:r w:rsidRPr="00F91DE3">
          <w:rPr>
            <w:rStyle w:val="Hiperhivatkozs"/>
            <w:rFonts w:ascii="Verdana" w:hAnsi="Verdana"/>
            <w:sz w:val="20"/>
            <w:szCs w:val="20"/>
          </w:rPr>
          <w:t>adatvedelem@gls-hungary.com</w:t>
        </w:r>
      </w:hyperlink>
      <w:r w:rsidRPr="00007E52">
        <w:rPr>
          <w:rFonts w:ascii="Verdana" w:hAnsi="Verdana"/>
          <w:sz w:val="20"/>
          <w:szCs w:val="20"/>
        </w:rPr>
        <w:t xml:space="preserve"> </w:t>
      </w:r>
    </w:p>
    <w:p w:rsidR="00007E52" w:rsidRDefault="00007E52" w:rsidP="00007E52">
      <w:pPr>
        <w:pStyle w:val="Nincstrkz"/>
        <w:rPr>
          <w:rFonts w:ascii="Verdana" w:hAnsi="Verdana"/>
          <w:sz w:val="20"/>
          <w:szCs w:val="20"/>
        </w:rPr>
      </w:pPr>
    </w:p>
    <w:p w:rsidR="00007E52" w:rsidRDefault="00007E52" w:rsidP="00007E52">
      <w:pPr>
        <w:pStyle w:val="Nincstrkz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007E52">
        <w:rPr>
          <w:rFonts w:ascii="Verdana" w:hAnsi="Verdana"/>
          <w:b/>
          <w:sz w:val="20"/>
          <w:szCs w:val="20"/>
        </w:rPr>
        <w:t>ADATKEZELÉS CÉLJA</w:t>
      </w:r>
    </w:p>
    <w:p w:rsidR="00007E52" w:rsidRDefault="00007E52" w:rsidP="00007E52">
      <w:pPr>
        <w:pStyle w:val="Nincstrkz"/>
        <w:rPr>
          <w:rFonts w:ascii="Verdana" w:hAnsi="Verdana"/>
          <w:b/>
          <w:sz w:val="20"/>
          <w:szCs w:val="20"/>
        </w:rPr>
      </w:pPr>
    </w:p>
    <w:p w:rsidR="00007E52" w:rsidRDefault="00007E52" w:rsidP="00947954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adatkezelés célja, hogy az Adatkezelő a nem üzemi dolgozók részére meghirdetett nyitott pozíciók esetében a pályázók adatait begyűjtse és kezelj</w:t>
      </w:r>
      <w:r w:rsidR="00A03660">
        <w:rPr>
          <w:rFonts w:ascii="Verdana" w:hAnsi="Verdana"/>
          <w:sz w:val="20"/>
          <w:szCs w:val="20"/>
        </w:rPr>
        <w:t>e az álláshelyek betöltése érdekében.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947954" w:rsidRPr="00947954" w:rsidRDefault="00947954" w:rsidP="00947954">
      <w:pPr>
        <w:pStyle w:val="Nincstrkz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947954">
        <w:rPr>
          <w:rFonts w:ascii="Verdana" w:hAnsi="Verdana"/>
          <w:b/>
          <w:sz w:val="20"/>
          <w:szCs w:val="20"/>
        </w:rPr>
        <w:t>ADATKEZELÉS JOGALAPJA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Az Érintett hozzájárulása (GDPR 6. cikk (1) </w:t>
      </w:r>
      <w:proofErr w:type="spellStart"/>
      <w:r w:rsidRPr="00947954">
        <w:rPr>
          <w:rFonts w:ascii="Verdana" w:hAnsi="Verdana"/>
          <w:sz w:val="20"/>
          <w:szCs w:val="20"/>
        </w:rPr>
        <w:t>bek</w:t>
      </w:r>
      <w:proofErr w:type="spellEnd"/>
      <w:r w:rsidRPr="00947954">
        <w:rPr>
          <w:rFonts w:ascii="Verdana" w:hAnsi="Verdana"/>
          <w:sz w:val="20"/>
          <w:szCs w:val="20"/>
        </w:rPr>
        <w:t>. a) pontban rögzített jogalap)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947954" w:rsidRDefault="00947954" w:rsidP="00947954">
      <w:pPr>
        <w:pStyle w:val="Nincstrkz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947954">
        <w:rPr>
          <w:rFonts w:ascii="Verdana" w:hAnsi="Verdana"/>
          <w:b/>
          <w:sz w:val="20"/>
          <w:szCs w:val="20"/>
        </w:rPr>
        <w:t>KEZELT SZEMÉLYES ADATOK KÖRE</w:t>
      </w:r>
      <w:r w:rsidRPr="00947954">
        <w:rPr>
          <w:rFonts w:ascii="Verdana" w:hAnsi="Verdana"/>
          <w:b/>
          <w:sz w:val="20"/>
          <w:szCs w:val="20"/>
        </w:rPr>
        <w:cr/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Érintett vonatkozásában: </w:t>
      </w:r>
      <w:r w:rsidRPr="00947954">
        <w:rPr>
          <w:rFonts w:ascii="Verdana" w:hAnsi="Verdana"/>
          <w:sz w:val="20"/>
          <w:szCs w:val="20"/>
        </w:rPr>
        <w:t>név, születési hely, idő, cím, email cím, telefonszám, közösségi média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felhasználói fiók, iskolai végzettség, korábbi munkáltatók, hobbi, nyelvismeret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 xml:space="preserve">(nyelvvizsga bizonyítvány sorszáma, engedélyek (vezetői, </w:t>
      </w:r>
      <w:proofErr w:type="gramStart"/>
      <w:r w:rsidRPr="00947954">
        <w:rPr>
          <w:rFonts w:ascii="Verdana" w:hAnsi="Verdana"/>
          <w:sz w:val="20"/>
          <w:szCs w:val="20"/>
        </w:rPr>
        <w:t>ECDL,</w:t>
      </w:r>
      <w:proofErr w:type="gramEnd"/>
      <w:r w:rsidRPr="00947954">
        <w:rPr>
          <w:rFonts w:ascii="Verdana" w:hAnsi="Verdana"/>
          <w:sz w:val="20"/>
          <w:szCs w:val="20"/>
        </w:rPr>
        <w:t xml:space="preserve"> stb.), családi állapot,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beosztás, aktuális munkáltató, fizetési igény, ajánlólevelek</w:t>
      </w:r>
      <w:r w:rsidR="001A46A0">
        <w:rPr>
          <w:rFonts w:ascii="Verdana" w:hAnsi="Verdana"/>
          <w:sz w:val="20"/>
          <w:szCs w:val="20"/>
        </w:rPr>
        <w:t xml:space="preserve">, </w:t>
      </w:r>
      <w:r w:rsidR="001A46A0" w:rsidRPr="001A46A0">
        <w:rPr>
          <w:rFonts w:ascii="Verdana" w:hAnsi="Verdana"/>
          <w:sz w:val="20"/>
          <w:szCs w:val="20"/>
        </w:rPr>
        <w:t>munkakezdés várható ideje</w:t>
      </w:r>
      <w:r w:rsidR="001A46A0">
        <w:rPr>
          <w:rFonts w:ascii="Verdana" w:hAnsi="Verdana"/>
          <w:sz w:val="20"/>
          <w:szCs w:val="20"/>
        </w:rPr>
        <w:t>.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Az Adatkezelő nem végez a </w:t>
      </w:r>
      <w:r>
        <w:rPr>
          <w:rFonts w:ascii="Verdana" w:hAnsi="Verdana"/>
          <w:sz w:val="20"/>
          <w:szCs w:val="20"/>
        </w:rPr>
        <w:t xml:space="preserve">pályázók </w:t>
      </w:r>
      <w:r w:rsidRPr="00947954">
        <w:rPr>
          <w:rFonts w:ascii="Verdana" w:hAnsi="Verdana"/>
          <w:sz w:val="20"/>
          <w:szCs w:val="20"/>
        </w:rPr>
        <w:t xml:space="preserve">/ regisztrálók viselkedése, érdeklődési köre, vagy </w:t>
      </w:r>
      <w:r>
        <w:rPr>
          <w:rFonts w:ascii="Verdana" w:hAnsi="Verdana"/>
          <w:sz w:val="20"/>
          <w:szCs w:val="20"/>
        </w:rPr>
        <w:t xml:space="preserve">az </w:t>
      </w:r>
      <w:r w:rsidRPr="00947954">
        <w:rPr>
          <w:rFonts w:ascii="Verdana" w:hAnsi="Verdana"/>
          <w:sz w:val="20"/>
          <w:szCs w:val="20"/>
        </w:rPr>
        <w:t>általuk magadott egyéb adat</w:t>
      </w:r>
      <w:r>
        <w:rPr>
          <w:rFonts w:ascii="Verdana" w:hAnsi="Verdana"/>
          <w:sz w:val="20"/>
          <w:szCs w:val="20"/>
        </w:rPr>
        <w:t>ok</w:t>
      </w:r>
      <w:r w:rsidRPr="00947954">
        <w:rPr>
          <w:rFonts w:ascii="Verdana" w:hAnsi="Verdana"/>
          <w:sz w:val="20"/>
          <w:szCs w:val="20"/>
        </w:rPr>
        <w:t xml:space="preserve"> alapján profilozást, és nem alkalmaz automata ajánlatalkotást, besorolást vagy döntéshozatalt. </w:t>
      </w:r>
    </w:p>
    <w:p w:rsidR="00EB27A7" w:rsidRDefault="00EB27A7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Default="00EB27A7" w:rsidP="00EB27A7">
      <w:pPr>
        <w:pStyle w:val="Nincstrkz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1A46A0">
        <w:rPr>
          <w:rFonts w:ascii="Verdana" w:hAnsi="Verdana"/>
          <w:b/>
          <w:sz w:val="20"/>
          <w:szCs w:val="20"/>
        </w:rPr>
        <w:t>A</w:t>
      </w:r>
      <w:r w:rsidR="001A46A0">
        <w:rPr>
          <w:rFonts w:ascii="Verdana" w:hAnsi="Verdana"/>
          <w:b/>
          <w:sz w:val="20"/>
          <w:szCs w:val="20"/>
        </w:rPr>
        <w:t>DATOK TÁROLÁSÁNAK IDŐTARTAMA</w:t>
      </w:r>
    </w:p>
    <w:p w:rsidR="001A46A0" w:rsidRDefault="001A46A0" w:rsidP="001A46A0">
      <w:pPr>
        <w:pStyle w:val="Nincstrkz"/>
        <w:jc w:val="both"/>
        <w:rPr>
          <w:rFonts w:ascii="Verdana" w:hAnsi="Verdana"/>
          <w:b/>
          <w:sz w:val="20"/>
          <w:szCs w:val="20"/>
        </w:rPr>
      </w:pPr>
    </w:p>
    <w:p w:rsidR="001A46A0" w:rsidRDefault="001A46A0" w:rsidP="001A46A0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pályázatok hivatalos kiértékelését és kiválasztást </w:t>
      </w:r>
      <w:r w:rsidRPr="001A46A0">
        <w:rPr>
          <w:rFonts w:ascii="Verdana" w:hAnsi="Verdana"/>
          <w:sz w:val="20"/>
          <w:szCs w:val="20"/>
        </w:rPr>
        <w:t>követő 6 hónap</w:t>
      </w:r>
      <w:r>
        <w:rPr>
          <w:rFonts w:ascii="Verdana" w:hAnsi="Verdana"/>
          <w:sz w:val="20"/>
          <w:szCs w:val="20"/>
        </w:rPr>
        <w:t>.</w:t>
      </w:r>
    </w:p>
    <w:p w:rsidR="001A46A0" w:rsidRDefault="001A46A0" w:rsidP="001A46A0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1A46A0" w:rsidRDefault="001A46A0" w:rsidP="001A46A0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Regisztráció esetén – pályázat benyújtása nélkül – az Érintett hozzájárulásának visszavonásáig.</w:t>
      </w:r>
    </w:p>
    <w:p w:rsidR="001A46A0" w:rsidRDefault="001A46A0" w:rsidP="001A46A0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1A46A0" w:rsidRDefault="001A46A0" w:rsidP="001A46A0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Érintett bármikor jogosult az adatkezeléshez adott hozzájárulását visszavonni, regisztrációja törlését kezdeményezni. A törlés időtartama legfeljebb 30 nap. 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947954" w:rsidRPr="00947954" w:rsidRDefault="00947954" w:rsidP="00947954">
      <w:pPr>
        <w:pStyle w:val="Nincstrkz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947954">
        <w:rPr>
          <w:rFonts w:ascii="Verdana" w:hAnsi="Verdana"/>
          <w:b/>
          <w:sz w:val="20"/>
          <w:szCs w:val="20"/>
        </w:rPr>
        <w:t xml:space="preserve">AZ ÉRINTETTEK JOGAI </w:t>
      </w:r>
    </w:p>
    <w:p w:rsidR="00947954" w:rsidRPr="00947954" w:rsidRDefault="00947954" w:rsidP="00947954">
      <w:pPr>
        <w:pStyle w:val="Nincstrkz"/>
        <w:ind w:left="360"/>
        <w:jc w:val="both"/>
        <w:rPr>
          <w:rFonts w:ascii="Verdana" w:hAnsi="Verdana"/>
          <w:sz w:val="20"/>
          <w:szCs w:val="20"/>
        </w:rPr>
      </w:pPr>
    </w:p>
    <w:p w:rsidR="00947954" w:rsidRDefault="00947954" w:rsidP="00947954">
      <w:pPr>
        <w:pStyle w:val="Nincstrkz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HOZZÁFÉRÉSI JOG (TÁJÉKOZTATÁSHOZ VALÓ JOG) 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lastRenderedPageBreak/>
        <w:t xml:space="preserve">Az Érintettek jogosultak arra, hogy tájékoztatást kapjanak az Adatkezelőtől arra vonatkozóan, hogy személyes adataik kezelése folyamatban van-e. Amennyiben az adatkezelés folyamatban van, úgy az Érintett az alábbi információkra vonatkozóan kérhet az Adatkezelőtől tájékoztatást: 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a) az adatkezelés céljai; 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b) az érintett személyes adatok kategóriái; 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 xml:space="preserve">c) a GDPR szerinti fogalom szerinti címzettek vagy címzettek kategóriái, akikkel, illetve amelyekkel a személyes adatokat közölték vagy közölni fogják, ideértve különösen a harmadik országbeli címzetteket, illetve a nemzetközi szervezeteket; d) adott esetben a személyes adatok tárolásának tervezett időtartama, vagy ha ez nem lehetséges, ezen időtartam meghatározásának szempontjai; 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e) az Érintett azon joga, hogy kérelmezheti az adatkezelőtől a rá vonatkozó személyes adatok helyesbítését, törlését vagy kezelésének korlátozását, és tiltakozhat az ilyen személyes adatok kezelése ellen;</w:t>
      </w:r>
    </w:p>
    <w:p w:rsidR="00947954" w:rsidRP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f) a felügyeleti hatósághoz címzett panasz benyújtásának feltételei, lehetősége;</w:t>
      </w:r>
    </w:p>
    <w:p w:rsidR="00947954" w:rsidRP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g) ha az adatokat nem az Érintettől gyűjtötték, a forrásukra vonatkozó minden elérhető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információ;</w:t>
      </w:r>
    </w:p>
    <w:p w:rsid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h) automatizált döntéshozatal tényéről történő tájékoztatást, ideértve a profilalkotást is,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valamint legalább ezekben az esetekben az alkalmazott logikára és arra vonatkozó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érthető információk, hogy az ilyen adatkezelés milyen jelentőséggel bír, és az Érintettre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nézve milyen várható következményekkel jár.</w:t>
      </w:r>
    </w:p>
    <w:p w:rsidR="00947954" w:rsidRPr="00947954" w:rsidRDefault="00947954" w:rsidP="00947954">
      <w:pPr>
        <w:pStyle w:val="Nincstrkz"/>
        <w:ind w:left="720"/>
        <w:jc w:val="both"/>
        <w:rPr>
          <w:rFonts w:ascii="Verdana" w:hAnsi="Verdana"/>
          <w:sz w:val="20"/>
          <w:szCs w:val="20"/>
        </w:rPr>
      </w:pPr>
    </w:p>
    <w:p w:rsidR="00947954" w:rsidRP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Az Adatkezelő az adatkezelés tárgyát képező személyes adatok másolatát évente egy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alkalommal az Érintett kérésére ingyenesen az Érintett rendelkezésére bocsátja. Az Érintett</w:t>
      </w:r>
    </w:p>
    <w:p w:rsidR="00947954" w:rsidRDefault="00947954" w:rsidP="00947954">
      <w:pPr>
        <w:pStyle w:val="Nincstrkz"/>
        <w:jc w:val="both"/>
        <w:rPr>
          <w:rFonts w:ascii="Verdana" w:hAnsi="Verdana"/>
          <w:sz w:val="20"/>
          <w:szCs w:val="20"/>
        </w:rPr>
      </w:pPr>
      <w:r w:rsidRPr="00947954">
        <w:rPr>
          <w:rFonts w:ascii="Verdana" w:hAnsi="Verdana"/>
          <w:sz w:val="20"/>
          <w:szCs w:val="20"/>
        </w:rPr>
        <w:t>által kért további másolatokért az Adatkezelő jogosult költségtérítést kérni (Papír alapú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>tájékoztatás esetében: 10 Ft/lap). Ha az Érintett elektronikus úton nyújtotta be a kérelmet, úgy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 xml:space="preserve">adatkezelő ezen adatokat – az Érintett eltérő rendelkezésének hiányában </w:t>
      </w:r>
      <w:r>
        <w:rPr>
          <w:rFonts w:ascii="Verdana" w:hAnsi="Verdana"/>
          <w:sz w:val="20"/>
          <w:szCs w:val="20"/>
        </w:rPr>
        <w:t>–</w:t>
      </w:r>
      <w:r w:rsidRPr="00947954">
        <w:rPr>
          <w:rFonts w:ascii="Verdana" w:hAnsi="Verdana"/>
          <w:sz w:val="20"/>
          <w:szCs w:val="20"/>
        </w:rPr>
        <w:t xml:space="preserve"> elektronikus</w:t>
      </w:r>
      <w:r>
        <w:rPr>
          <w:rFonts w:ascii="Verdana" w:hAnsi="Verdana"/>
          <w:sz w:val="20"/>
          <w:szCs w:val="20"/>
        </w:rPr>
        <w:t xml:space="preserve"> </w:t>
      </w:r>
      <w:r w:rsidRPr="00947954">
        <w:rPr>
          <w:rFonts w:ascii="Verdana" w:hAnsi="Verdana"/>
          <w:sz w:val="20"/>
          <w:szCs w:val="20"/>
        </w:rPr>
        <w:t xml:space="preserve">formában biztosítja az Érintett rendelkezésére. </w:t>
      </w:r>
      <w:r w:rsidRPr="00947954">
        <w:rPr>
          <w:rFonts w:ascii="Verdana" w:hAnsi="Verdana"/>
          <w:sz w:val="20"/>
          <w:szCs w:val="20"/>
        </w:rPr>
        <w:cr/>
      </w:r>
    </w:p>
    <w:p w:rsidR="00EB27A7" w:rsidRPr="00EB27A7" w:rsidRDefault="00EB27A7" w:rsidP="00EB27A7">
      <w:pPr>
        <w:pStyle w:val="Nincstrkz"/>
        <w:numPr>
          <w:ilvl w:val="1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HELYESBÍTÉSHEZ VALÓ JOG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érintett jogosult arra, hogy kérésére az adatkezelő indokolatlan késedelem nélkül helyesbítse a rá vonatkozó pontatlan személyes adatokat. Figyelembe véve az adatkezelés célját, az Érintett jogosult arra, hogy kérje a hiányos személyes adatok – egyebek mellett kiegészítő nyilatkozat útján történő – kiegészítését.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numPr>
          <w:ilvl w:val="1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>TÖRLÉSHEZ, ELFELEDTETÉSHEZ VALÓ JOG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Érintett az alábbi esetekben kérheti az Adatkezelőtől a személyes adatai törlését: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>a) a személyes adatokra már nincs szükség abból a célból, amelyből azokat gyűjtötték vagy más módon kezelték;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b) amennyiben az adatkezelés az Érintett hozzájárulásán alapul, úgy az Érintett visszavonja ezen hozzájárulását, feltéve, ha az adatkezelésnek nincs más jogalapja;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c) az Érintett tiltakozik az adatkezelés ellen, ha a törlés szabályai ezen tiltakozással szemben fennállnak; d) a személyes adatok jogellenesen kerültek kezelésre;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e) személyes adatokat az adatkezelőre alkalmazandó uniós vagy tagállami jogban előírt jogi kötelezettség teljesítéséhez törölni kell;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f) személyes adatok gyűjtésére a Rendelet 8. cikk (1) bekezdésében említett, információs társadalommal összefüggő szolgáltatások kínálásával kapcsolatosan került sor.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Adatkezelő nem köteles törölni a személyes adatokat, amennyiben az adatkezelés szükséges: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a) a véleménynyilvánítás szabadságához és a tájékozódáshoz való jog gyakorlása céljából;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b) a személyes adatok kezelését előíró, az adatkezelőre alkalmazandó uniós vagy tagállami jog szerinti kötelezettség teljesítése, illetve közérdekből vagy az adatkezelőre ruházott közhatalmi jogosítvány gyakorlása keretében végzett feladat végrehajtása céljából;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c) a népegészségügy területét érintő közérdek alapján;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lastRenderedPageBreak/>
        <w:t xml:space="preserve">d) a közérdekű archiválás céljából, tudományos és történelmi kutatási célból vagy statisztikai célból, amennyiben az (1) bekezdésben említett jog valószínűsíthetően lehetetlenné tenné vagy komolyan veszélyeztetné ezt az adatkezelést; vagy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e) jogi igények előterjesztéséhez, érvényesítéséhez, illetve védelméhez.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numPr>
          <w:ilvl w:val="1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AZ ADATKEZELÉS KORLÁTOZÁSÁHOZ VALÓ JOG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Érintett jogosult arra, hogy kérésére az adatkezelő korlátozza az adatkezelést, ha az alábbiak valamelyike teljesül: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a) az Érintett vitatja a személyes adatok pontosságát, ez esetben a korlátozás arra az időtartamra vonatkozik, amely lehetővé teszi, hogy az adatkezelő ellenőrizze a személyes adatok pontosságát;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b) az adatkezelés jogellenes, és az Érintett ellenzi az adatok törlését, és ehelyett kéri azok felhasználásának korlátozását;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>c) az adatkezelőnek már nincs szüksége a személyes adatokra adatkezelés céljából, de az Érintett igényli azokat jogi igények előterjesztéséhez, érvényesítéséhez vagy védelméhez; vagy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d) az Érintett tiltakozott az adatkezelés ellen; ez esetben a korlátozás arra az időtartamra vonatkozik, amíg megállapításra nem kerül, hogy az adatkezelő jogos indokai elsőbbséget élveznek az Érintett jogos indokaival szemben.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numPr>
          <w:ilvl w:val="1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A HOZZÁJÁRULÁS VISSZAVONÁSÁHOZ VALÓ JOG </w:t>
      </w:r>
    </w:p>
    <w:p w:rsidR="00EB27A7" w:rsidRPr="00EB27A7" w:rsidRDefault="00EB27A7" w:rsidP="00EB27A7">
      <w:pPr>
        <w:pStyle w:val="Nincstrkz"/>
        <w:ind w:left="720"/>
        <w:jc w:val="both"/>
        <w:rPr>
          <w:rFonts w:ascii="Verdana" w:hAnsi="Verdana"/>
          <w:b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Amennyiben az adatkezelés az Érintett hozzájárulásán alapul, úgy az Érintett jogosult arra, hogy ezen hozzájárulását bármikor visszavonja. A hozzájárulás visszavonása nem érinti a hozzájáruláson alapuló, a visszavonás előtti adatkezelés jogszerűségét. A visszavonást az Adatkezelő 1. pontban megjelölt email címére kell megküldeni.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numPr>
          <w:ilvl w:val="1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JOGOK ÉRVÉNYESÍTÉSE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 személyes adatokkal kapcsolatban tájékoztatás, helyesbítés, zárolás, törlés, hozzájárulás visszavonása bármikor bejelenthető az alábbi elérhetőségeken: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• levélben: 2351 Alsónémedi, GLS Európa utca 2.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>• e-mail-ben: az adatvedelem@gls-hungary.com email címen.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Panasz benyújtása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Amennyiben érintett megítélése szerint a rá vonatkozó személyes adatok kezelése sérti a jelen Tájékoztatóban, illetve a GDPR-ben foglaltakat, úgy az Érintett jogosult panasszal élni ezen adatkezeléssel szemben. A panasz az Érintett választása szerint az Adatkezelőnél, illetve a Hatóságnál is benyújtható. Az Adatkezelő adatkezeléssel kapcsolatos panaszokat az alábbi elérhetőségeken fogad: • levélben: 2351 Alsónémedi, GLS Európa utca 2.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• e-mail-ben: az adatvedelem@gls-hungary.com email címen.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Adatkezelő részére más elérhetőségre megküldött panasz kivizsgálásának határideje a fenti címre történő beérkezéstől kezdődik.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 Hatóságnál a panasz az alábbiak szerint kezdeményezhető. Nemzeti Adatvédelmi és Információszabadság Hatóság cím: 1055 Budapest, Falk Miksa utca 9-11.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Postacím: 1363 Budapest, Pf.: 9.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E-mail: </w:t>
      </w:r>
      <w:hyperlink r:id="rId9" w:history="1">
        <w:r w:rsidRPr="00EB27A7">
          <w:rPr>
            <w:rStyle w:val="Hiperhivatkozs"/>
            <w:rFonts w:ascii="Verdana" w:hAnsi="Verdana"/>
            <w:sz w:val="20"/>
            <w:szCs w:val="20"/>
          </w:rPr>
          <w:t>ugyfelszolgalat@naih.hu</w:t>
        </w:r>
      </w:hyperlink>
      <w:r w:rsidRPr="00EB27A7">
        <w:rPr>
          <w:rFonts w:ascii="Verdana" w:hAnsi="Verdana"/>
          <w:sz w:val="20"/>
          <w:szCs w:val="20"/>
        </w:rPr>
        <w:t xml:space="preserve">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Honlap: </w:t>
      </w:r>
      <w:hyperlink r:id="rId10" w:history="1">
        <w:r w:rsidRPr="00EB27A7">
          <w:rPr>
            <w:rStyle w:val="Hiperhivatkozs"/>
            <w:rFonts w:ascii="Verdana" w:hAnsi="Verdana"/>
            <w:sz w:val="20"/>
            <w:szCs w:val="20"/>
          </w:rPr>
          <w:t>www.naih.hu</w:t>
        </w:r>
      </w:hyperlink>
      <w:r w:rsidRPr="00EB27A7">
        <w:rPr>
          <w:rFonts w:ascii="Verdana" w:hAnsi="Verdana"/>
          <w:sz w:val="20"/>
          <w:szCs w:val="20"/>
        </w:rPr>
        <w:t xml:space="preserve">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b/>
          <w:sz w:val="20"/>
          <w:szCs w:val="20"/>
        </w:rPr>
        <w:t xml:space="preserve">Bírósági jogorvoslati lehetőségek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</w:p>
    <w:p w:rsidR="00EB27A7" w:rsidRPr="00EB27A7" w:rsidRDefault="00EB27A7" w:rsidP="00EB27A7">
      <w:pPr>
        <w:pStyle w:val="Nincstrkz"/>
        <w:jc w:val="both"/>
        <w:rPr>
          <w:rFonts w:ascii="Verdana" w:hAnsi="Verdana"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Az Érintett a jogainak megsértése esetén az Adatkezelő ellen bírósághoz fordulhat. A bíróság – a megkeresést követően – az ügyben soron kívül jár el. A per elbírálása a törvényszék hatáskörébe tartozik (Fővárosi Törvényszék elérhetősége: 1055 Budapest, Markó u. 27., 1363 Pf.: 16.). </w:t>
      </w:r>
    </w:p>
    <w:p w:rsidR="00EB27A7" w:rsidRPr="00EB27A7" w:rsidRDefault="00EB27A7" w:rsidP="00EB27A7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EB27A7">
        <w:rPr>
          <w:rFonts w:ascii="Verdana" w:hAnsi="Verdana"/>
          <w:sz w:val="20"/>
          <w:szCs w:val="20"/>
        </w:rPr>
        <w:t xml:space="preserve">A per – az Érintett választása szerint – az Érintett lakóhelye vagy tartózkodási helye szerinti törvényszék előtt is megindítható. A lakóhelye vagy tartózkodási helye szerinti törvényszéket megkeresheti a </w:t>
      </w:r>
      <w:hyperlink r:id="rId11" w:history="1">
        <w:r w:rsidRPr="00EB27A7">
          <w:rPr>
            <w:rStyle w:val="Hiperhivatkozs"/>
            <w:rFonts w:ascii="Verdana" w:hAnsi="Verdana"/>
            <w:sz w:val="20"/>
            <w:szCs w:val="20"/>
          </w:rPr>
          <w:t>https://birosag.hu/birosag-kereso</w:t>
        </w:r>
      </w:hyperlink>
      <w:r w:rsidRPr="00EB27A7">
        <w:rPr>
          <w:rFonts w:ascii="Verdana" w:hAnsi="Verdana"/>
          <w:sz w:val="20"/>
          <w:szCs w:val="20"/>
        </w:rPr>
        <w:t xml:space="preserve"> oldalon.</w:t>
      </w:r>
    </w:p>
    <w:sectPr w:rsidR="00EB27A7" w:rsidRPr="00EB27A7" w:rsidSect="00C16AD3">
      <w:head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753" w:rsidRDefault="00E34753" w:rsidP="00E34753">
      <w:pPr>
        <w:spacing w:after="0" w:line="240" w:lineRule="auto"/>
      </w:pPr>
      <w:r>
        <w:separator/>
      </w:r>
    </w:p>
  </w:endnote>
  <w:endnote w:type="continuationSeparator" w:id="0">
    <w:p w:rsidR="00E34753" w:rsidRDefault="00E34753" w:rsidP="00E3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753" w:rsidRDefault="00E34753" w:rsidP="00E34753">
      <w:pPr>
        <w:spacing w:after="0" w:line="240" w:lineRule="auto"/>
      </w:pPr>
      <w:r>
        <w:separator/>
      </w:r>
    </w:p>
  </w:footnote>
  <w:footnote w:type="continuationSeparator" w:id="0">
    <w:p w:rsidR="00E34753" w:rsidRDefault="00E34753" w:rsidP="00E3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753" w:rsidRDefault="00E34753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D0DAF23" wp14:editId="2104A4D0">
          <wp:simplePos x="0" y="0"/>
          <wp:positionH relativeFrom="column">
            <wp:posOffset>4876800</wp:posOffset>
          </wp:positionH>
          <wp:positionV relativeFrom="paragraph">
            <wp:posOffset>-160655</wp:posOffset>
          </wp:positionV>
          <wp:extent cx="1421053" cy="540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1E59"/>
    <w:multiLevelType w:val="multilevel"/>
    <w:tmpl w:val="91C47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761B8"/>
    <w:multiLevelType w:val="hybridMultilevel"/>
    <w:tmpl w:val="94A86CB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52"/>
    <w:rsid w:val="00007E52"/>
    <w:rsid w:val="001A46A0"/>
    <w:rsid w:val="002629BA"/>
    <w:rsid w:val="002F08E4"/>
    <w:rsid w:val="00947954"/>
    <w:rsid w:val="009C3CBE"/>
    <w:rsid w:val="00A03660"/>
    <w:rsid w:val="00C16AD3"/>
    <w:rsid w:val="00CB7B2D"/>
    <w:rsid w:val="00DC4A02"/>
    <w:rsid w:val="00E34753"/>
    <w:rsid w:val="00E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0D3E-79E0-4E34-A919-1A8D29D9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7E52"/>
    <w:pPr>
      <w:ind w:left="720"/>
      <w:contextualSpacing/>
    </w:pPr>
  </w:style>
  <w:style w:type="paragraph" w:styleId="Nincstrkz">
    <w:name w:val="No Spacing"/>
    <w:uiPriority w:val="1"/>
    <w:qFormat/>
    <w:rsid w:val="00007E52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07E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7E5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34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4753"/>
  </w:style>
  <w:style w:type="paragraph" w:styleId="llb">
    <w:name w:val="footer"/>
    <w:basedOn w:val="Norml"/>
    <w:link w:val="llbChar"/>
    <w:uiPriority w:val="99"/>
    <w:unhideWhenUsed/>
    <w:rsid w:val="00E34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gls-hungar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tvedelem@gls-hungar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rosag.hu/birosag-keres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1183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Szeles-Moldvai</dc:creator>
  <cp:keywords/>
  <dc:description/>
  <cp:lastModifiedBy>Tímea Szeles-Moldvai</cp:lastModifiedBy>
  <cp:revision>3</cp:revision>
  <dcterms:created xsi:type="dcterms:W3CDTF">2024-06-18T12:35:00Z</dcterms:created>
  <dcterms:modified xsi:type="dcterms:W3CDTF">2024-06-21T13:07:00Z</dcterms:modified>
</cp:coreProperties>
</file>